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82268D" w:rsidRPr="0082268D" w:rsidTr="0082268D">
        <w:trPr>
          <w:trHeight w:val="450"/>
          <w:tblCellSpacing w:w="15" w:type="dxa"/>
        </w:trPr>
        <w:tc>
          <w:tcPr>
            <w:tcW w:w="5000" w:type="pct"/>
            <w:vAlign w:val="center"/>
            <w:hideMark/>
          </w:tcPr>
          <w:p w:rsidR="0082268D" w:rsidRPr="0082268D" w:rsidRDefault="0082268D" w:rsidP="0082268D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8226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VGS 2012 Spring Conference </w:t>
            </w:r>
          </w:p>
        </w:tc>
      </w:tr>
    </w:tbl>
    <w:p w:rsidR="0082268D" w:rsidRPr="0082268D" w:rsidRDefault="0082268D" w:rsidP="0082268D">
      <w:pPr>
        <w:spacing w:line="288" w:lineRule="auto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891"/>
        <w:gridCol w:w="8429"/>
        <w:gridCol w:w="50"/>
      </w:tblGrid>
      <w:tr w:rsidR="0082268D" w:rsidRPr="0082268D" w:rsidTr="0082268D">
        <w:trPr>
          <w:tblCellSpacing w:w="15" w:type="dxa"/>
        </w:trPr>
        <w:tc>
          <w:tcPr>
            <w:tcW w:w="4968" w:type="pct"/>
            <w:gridSpan w:val="4"/>
            <w:hideMark/>
          </w:tcPr>
          <w:p w:rsidR="0082268D" w:rsidRPr="0082268D" w:rsidRDefault="0082268D" w:rsidP="0082268D">
            <w:pPr>
              <w:spacing w:after="0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2268D">
              <w:rPr>
                <w:rFonts w:ascii="Tahoma" w:eastAsia="Times New Roman" w:hAnsi="Tahoma" w:cs="Tahoma"/>
                <w:color w:val="999999"/>
                <w:sz w:val="15"/>
                <w:szCs w:val="15"/>
              </w:rPr>
              <w:t xml:space="preserve">Written by Jordan D. Jones </w:t>
            </w:r>
            <w:r w:rsidRPr="0082268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  </w:t>
            </w:r>
          </w:p>
        </w:tc>
      </w:tr>
      <w:bookmarkEnd w:id="0"/>
      <w:tr w:rsidR="0082268D" w:rsidRPr="0082268D" w:rsidTr="0082268D">
        <w:trPr>
          <w:tblCellSpacing w:w="15" w:type="dxa"/>
        </w:trPr>
        <w:tc>
          <w:tcPr>
            <w:tcW w:w="0" w:type="auto"/>
            <w:gridSpan w:val="4"/>
            <w:hideMark/>
          </w:tcPr>
          <w:p w:rsidR="0082268D" w:rsidRPr="0082268D" w:rsidRDefault="0082268D" w:rsidP="0082268D">
            <w:pPr>
              <w:spacing w:after="150" w:line="336" w:lineRule="auto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34271E2" wp14:editId="4717B940">
                  <wp:extent cx="962025" cy="2305050"/>
                  <wp:effectExtent l="0" t="0" r="9525" b="0"/>
                  <wp:docPr id="1" name="Picture 1" descr="2012 Spring VGS Confe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2 Spring VGS Confe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68D">
              <w:rPr>
                <w:rFonts w:ascii="Tahoma" w:eastAsia="Times New Roman" w:hAnsi="Tahoma" w:cs="Tahoma"/>
                <w:b/>
                <w:color w:val="000000"/>
              </w:rPr>
              <w:t>The Virginia Genealogical Society's 2012 Spring Conference, entitled "The War of 1812," will be held on 20-21 April 2012 at the Virginia Historical Society, 428 North Boulevard, Richmond, Virginia.</w:t>
            </w:r>
          </w:p>
          <w:p w:rsidR="0082268D" w:rsidRPr="0082268D" w:rsidRDefault="0082268D" w:rsidP="0082268D">
            <w:pPr>
              <w:spacing w:after="150" w:line="336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82268D">
              <w:rPr>
                <w:rFonts w:ascii="Tahoma" w:eastAsia="Times New Roman" w:hAnsi="Tahoma" w:cs="Tahoma"/>
                <w:b/>
                <w:color w:val="000000"/>
              </w:rPr>
              <w:t>Members pay $40 through April 6th</w:t>
            </w:r>
            <w:r w:rsidRPr="0082268D">
              <w:rPr>
                <w:rFonts w:ascii="Tahoma" w:eastAsia="Times New Roman" w:hAnsi="Tahoma" w:cs="Tahoma"/>
                <w:b/>
                <w:color w:val="000000"/>
              </w:rPr>
              <w:br/>
              <w:t>Non-members pay $50 through April 6th</w:t>
            </w:r>
          </w:p>
          <w:p w:rsidR="0082268D" w:rsidRPr="0082268D" w:rsidRDefault="0082268D" w:rsidP="0082268D">
            <w:pPr>
              <w:spacing w:after="150" w:line="336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82268D">
              <w:rPr>
                <w:rFonts w:ascii="Tahoma" w:eastAsia="Times New Roman" w:hAnsi="Tahoma" w:cs="Tahoma"/>
                <w:b/>
                <w:color w:val="000000"/>
              </w:rPr>
              <w:t>After April 6th, prices go up by $10 for everyone; so register early.</w:t>
            </w:r>
          </w:p>
          <w:p w:rsidR="0082268D" w:rsidRPr="0082268D" w:rsidRDefault="0082268D" w:rsidP="0082268D">
            <w:pPr>
              <w:spacing w:after="150" w:line="336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82268D">
              <w:rPr>
                <w:rFonts w:ascii="Tahoma" w:eastAsia="Times New Roman" w:hAnsi="Tahoma" w:cs="Tahoma"/>
                <w:b/>
                <w:color w:val="000000"/>
              </w:rPr>
              <w:t>Online registration will end after April 17th, to allow time to organize the details of the event. You can register by phone or as a walk-in after April 17th, but we cannot guarantee that we will have a meal available.</w:t>
            </w:r>
          </w:p>
          <w:p w:rsidR="0082268D" w:rsidRPr="0082268D" w:rsidRDefault="0082268D" w:rsidP="0082268D">
            <w:pPr>
              <w:spacing w:after="150" w:line="336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82268D">
              <w:rPr>
                <w:rFonts w:ascii="Tahoma" w:eastAsia="Times New Roman" w:hAnsi="Tahoma" w:cs="Tahoma"/>
                <w:b/>
                <w:color w:val="000000"/>
              </w:rPr>
              <w:t>For more information on the conference, read the </w:t>
            </w:r>
            <w:hyperlink r:id="rId6" w:tgtFrame="_blank" w:tooltip="2012 Spring Conference Brochure" w:history="1">
              <w:r w:rsidRPr="0082268D">
                <w:rPr>
                  <w:rFonts w:ascii="Tahoma" w:eastAsia="Times New Roman" w:hAnsi="Tahoma" w:cs="Tahoma"/>
                  <w:b/>
                  <w:color w:val="1E5FA2"/>
                </w:rPr>
                <w:t>conference brochure</w:t>
              </w:r>
            </w:hyperlink>
            <w:r w:rsidRPr="0082268D">
              <w:rPr>
                <w:rFonts w:ascii="Tahoma" w:eastAsia="Times New Roman" w:hAnsi="Tahoma" w:cs="Tahoma"/>
                <w:b/>
                <w:color w:val="000000"/>
              </w:rPr>
              <w:t>.</w:t>
            </w:r>
          </w:p>
          <w:p w:rsidR="0082268D" w:rsidRPr="0082268D" w:rsidRDefault="0082268D" w:rsidP="0082268D">
            <w:pPr>
              <w:spacing w:after="150" w:line="336" w:lineRule="auto"/>
              <w:rPr>
                <w:rFonts w:ascii="Tahoma" w:eastAsia="Times New Roman" w:hAnsi="Tahoma" w:cs="Tahoma"/>
                <w:b/>
                <w:color w:val="000000"/>
              </w:rPr>
            </w:pPr>
            <w:hyperlink r:id="rId7" w:tgtFrame="_self" w:tooltip="2012 Spring Conference Online Registration" w:history="1">
              <w:r w:rsidRPr="0082268D">
                <w:rPr>
                  <w:rFonts w:ascii="Tahoma" w:eastAsia="Times New Roman" w:hAnsi="Tahoma" w:cs="Tahoma"/>
                  <w:b/>
                  <w:color w:val="1E5FA2"/>
                </w:rPr>
                <w:t>Sign up online</w:t>
              </w:r>
            </w:hyperlink>
            <w:r w:rsidRPr="0082268D">
              <w:rPr>
                <w:rFonts w:ascii="Tahoma" w:eastAsia="Times New Roman" w:hAnsi="Tahoma" w:cs="Tahoma"/>
                <w:b/>
                <w:color w:val="000000"/>
              </w:rPr>
              <w:t>! (VGS Members, please log in prior to purchase to receive the members discount.)</w:t>
            </w:r>
          </w:p>
          <w:p w:rsidR="0082268D" w:rsidRPr="0082268D" w:rsidRDefault="0082268D" w:rsidP="0082268D">
            <w:pPr>
              <w:spacing w:after="150" w:line="336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2268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2268D" w:rsidTr="0082268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After w:w="4456" w:type="pct"/>
        </w:trPr>
        <w:tc>
          <w:tcPr>
            <w:tcW w:w="0" w:type="auto"/>
            <w:shd w:val="clear" w:color="auto" w:fill="FCFCFC"/>
            <w:vAlign w:val="center"/>
            <w:hideMark/>
          </w:tcPr>
          <w:p w:rsidR="0082268D" w:rsidRDefault="0082268D">
            <w:pPr>
              <w:spacing w:before="120" w:line="336" w:lineRule="atLeast"/>
              <w:rPr>
                <w:rFonts w:ascii="inherit" w:hAnsi="inherit" w:cs="Arial"/>
                <w:color w:val="333333"/>
                <w:sz w:val="18"/>
                <w:szCs w:val="18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</w:rPr>
              <w:t>Brent D. Morgan</w:t>
            </w:r>
          </w:p>
        </w:tc>
      </w:tr>
      <w:tr w:rsidR="0082268D" w:rsidTr="0082268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vAlign w:val="center"/>
            <w:hideMark/>
          </w:tcPr>
          <w:p w:rsidR="0082268D" w:rsidRDefault="0082268D">
            <w:pPr>
              <w:spacing w:before="120" w:line="336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82268D" w:rsidRDefault="0082268D">
            <w:pPr>
              <w:spacing w:before="120" w:line="336" w:lineRule="atLeast"/>
              <w:rPr>
                <w:rFonts w:ascii="inherit" w:hAnsi="inherit" w:cs="Arial"/>
                <w:color w:val="333333"/>
                <w:sz w:val="18"/>
                <w:szCs w:val="18"/>
              </w:rPr>
            </w:pPr>
            <w:r>
              <w:rPr>
                <w:rFonts w:ascii="inherit" w:hAnsi="inherit" w:cs="Arial"/>
                <w:color w:val="333333"/>
                <w:sz w:val="18"/>
                <w:szCs w:val="18"/>
              </w:rPr>
              <w:t>brentster1@comcast.net</w:t>
            </w:r>
          </w:p>
        </w:tc>
      </w:tr>
      <w:tr w:rsidR="0082268D" w:rsidTr="0082268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vAlign w:val="center"/>
            <w:hideMark/>
          </w:tcPr>
          <w:p w:rsidR="0082268D" w:rsidRDefault="0082268D">
            <w:pPr>
              <w:spacing w:before="120" w:line="336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URL</w:t>
            </w:r>
          </w:p>
        </w:tc>
        <w:tc>
          <w:tcPr>
            <w:tcW w:w="0" w:type="auto"/>
            <w:vAlign w:val="center"/>
            <w:hideMark/>
          </w:tcPr>
          <w:p w:rsidR="0082268D" w:rsidRDefault="0082268D">
            <w:pPr>
              <w:spacing w:before="120" w:line="336" w:lineRule="atLeast"/>
              <w:rPr>
                <w:rFonts w:ascii="inherit" w:hAnsi="inherit" w:cs="Arial"/>
                <w:color w:val="333333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inherit" w:hAnsi="inherit" w:cs="Arial"/>
                  <w:sz w:val="18"/>
                  <w:szCs w:val="18"/>
                </w:rPr>
                <w:t>http://www.vgs.org</w:t>
              </w:r>
            </w:hyperlink>
          </w:p>
        </w:tc>
      </w:tr>
      <w:tr w:rsidR="0082268D" w:rsidTr="0082268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hideMark/>
          </w:tcPr>
          <w:p w:rsidR="0082268D" w:rsidRDefault="0082268D">
            <w:pPr>
              <w:spacing w:before="120" w:line="336" w:lineRule="atLeas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Comment</w:t>
            </w:r>
          </w:p>
        </w:tc>
        <w:tc>
          <w:tcPr>
            <w:tcW w:w="0" w:type="auto"/>
            <w:vAlign w:val="center"/>
            <w:hideMark/>
          </w:tcPr>
          <w:p w:rsidR="0082268D" w:rsidRPr="0082268D" w:rsidRDefault="0082268D">
            <w:pPr>
              <w:spacing w:before="120" w:line="336" w:lineRule="atLeast"/>
              <w:rPr>
                <w:rFonts w:ascii="inherit" w:hAnsi="inherit" w:cs="Arial"/>
                <w:b/>
                <w:color w:val="333333"/>
                <w:sz w:val="28"/>
                <w:szCs w:val="28"/>
              </w:rPr>
            </w:pPr>
            <w:r w:rsidRPr="0082268D">
              <w:rPr>
                <w:rFonts w:ascii="inherit" w:hAnsi="inherit" w:cs="Arial"/>
                <w:b/>
                <w:color w:val="333333"/>
                <w:sz w:val="28"/>
                <w:szCs w:val="28"/>
              </w:rPr>
              <w:t xml:space="preserve">Would like to tell everyone about the Virginia Genealogical Society Spring conference. This year's title is the War of 1812. Featured speaker on 1812 </w:t>
            </w:r>
            <w:r>
              <w:rPr>
                <w:rFonts w:ascii="inherit" w:hAnsi="inherit" w:cs="Arial"/>
                <w:b/>
                <w:color w:val="333333"/>
                <w:sz w:val="28"/>
                <w:szCs w:val="28"/>
              </w:rPr>
              <w:t>subjects with be Stuart Butler o</w:t>
            </w:r>
            <w:r w:rsidRPr="0082268D">
              <w:rPr>
                <w:rFonts w:ascii="inherit" w:hAnsi="inherit" w:cs="Arial"/>
                <w:b/>
                <w:color w:val="333333"/>
                <w:sz w:val="28"/>
                <w:szCs w:val="28"/>
              </w:rPr>
              <w:t>n 1812. He will speak both on history and genealogical research for 1812 ancestors. Please visit www.vgs.org for details and to register for conference. Questions can be directed to brentster1@comcast.net</w:t>
            </w:r>
          </w:p>
        </w:tc>
      </w:tr>
    </w:tbl>
    <w:p w:rsidR="00F75D52" w:rsidRDefault="00F75D52"/>
    <w:sectPr w:rsidR="00F7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8D"/>
    <w:rsid w:val="0082268D"/>
    <w:rsid w:val="00F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68D"/>
    <w:rPr>
      <w:b w:val="0"/>
      <w:bCs w:val="0"/>
      <w:strike w:val="0"/>
      <w:dstrike w:val="0"/>
      <w:color w:val="1E5FA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2268D"/>
    <w:pPr>
      <w:spacing w:after="150" w:line="336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small1">
    <w:name w:val="small1"/>
    <w:basedOn w:val="DefaultParagraphFont"/>
    <w:rsid w:val="0082268D"/>
    <w:rPr>
      <w:b w:val="0"/>
      <w:bCs w:val="0"/>
      <w:color w:val="999999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68D"/>
    <w:rPr>
      <w:b w:val="0"/>
      <w:bCs w:val="0"/>
      <w:strike w:val="0"/>
      <w:dstrike w:val="0"/>
      <w:color w:val="1E5FA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2268D"/>
    <w:pPr>
      <w:spacing w:after="150" w:line="336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small1">
    <w:name w:val="small1"/>
    <w:basedOn w:val="DefaultParagraphFont"/>
    <w:rsid w:val="0082268D"/>
    <w:rPr>
      <w:b w:val="0"/>
      <w:bCs w:val="0"/>
      <w:color w:val="999999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629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6703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535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9733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85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  <w:divsChild>
                        <w:div w:id="5288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8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gs.org/index.php?page=shop.product_details&amp;flypage=flypage.tpl&amp;product_id=34&amp;category_id=4&amp;option=com_virtuemart&amp;Itemid=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gs.org/images/stories/events/2012-spring-vgs-brochure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2012-04-07T20:34:00Z</dcterms:created>
  <dcterms:modified xsi:type="dcterms:W3CDTF">2012-04-07T20:38:00Z</dcterms:modified>
</cp:coreProperties>
</file>