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A92" w:rsidRDefault="00365A92" w:rsidP="00365A92">
      <w:pPr>
        <w:spacing w:after="0" w:line="240" w:lineRule="auto"/>
        <w:jc w:val="center"/>
        <w:rPr>
          <w:rFonts w:ascii="Tahoma" w:eastAsia="Times New Roman" w:hAnsi="Tahoma" w:cs="Tahoma"/>
          <w:b/>
          <w:sz w:val="24"/>
          <w:szCs w:val="24"/>
        </w:rPr>
      </w:pPr>
      <w:r w:rsidRPr="00365A92">
        <w:rPr>
          <w:rFonts w:ascii="Tahoma" w:eastAsia="Times New Roman" w:hAnsi="Tahoma" w:cs="Tahoma"/>
          <w:b/>
          <w:sz w:val="24"/>
          <w:szCs w:val="24"/>
        </w:rPr>
        <w:t>War of 1812 Virginia Legacy Symposium, Hampton,</w:t>
      </w:r>
      <w:r w:rsidR="00D7661E">
        <w:rPr>
          <w:rFonts w:ascii="Tahoma" w:eastAsia="Times New Roman" w:hAnsi="Tahoma" w:cs="Tahoma"/>
          <w:b/>
          <w:sz w:val="24"/>
          <w:szCs w:val="24"/>
        </w:rPr>
        <w:t xml:space="preserve"> VA</w:t>
      </w:r>
      <w:r w:rsidRPr="00365A92">
        <w:rPr>
          <w:rFonts w:ascii="Tahoma" w:eastAsia="Times New Roman" w:hAnsi="Tahoma" w:cs="Tahoma"/>
          <w:b/>
          <w:sz w:val="24"/>
          <w:szCs w:val="24"/>
        </w:rPr>
        <w:t xml:space="preserve"> June 21</w:t>
      </w:r>
      <w:r w:rsidR="00D7661E">
        <w:rPr>
          <w:rFonts w:ascii="Tahoma" w:eastAsia="Times New Roman" w:hAnsi="Tahoma" w:cs="Tahoma"/>
          <w:b/>
          <w:sz w:val="24"/>
          <w:szCs w:val="24"/>
        </w:rPr>
        <w:t>, 2014</w:t>
      </w:r>
    </w:p>
    <w:p w:rsidR="00D7661E" w:rsidRDefault="00D7661E" w:rsidP="00365A92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Tahoma" w:eastAsia="Times New Roman" w:hAnsi="Tahoma" w:cs="Tahoma"/>
          <w:b/>
          <w:noProof/>
          <w:sz w:val="24"/>
          <w:szCs w:val="24"/>
        </w:rPr>
        <w:drawing>
          <wp:inline distT="0" distB="0" distL="0" distR="0">
            <wp:extent cx="5943600" cy="7934325"/>
            <wp:effectExtent l="0" t="0" r="0" b="9525"/>
            <wp:docPr id="1" name="Picture 1" descr="L:\SCA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SCAN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1E" w:rsidRPr="00365A92" w:rsidRDefault="00D7661E" w:rsidP="00365A92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</w:rPr>
      </w:pPr>
      <w:r>
        <w:rPr>
          <w:rFonts w:ascii="Calibri" w:eastAsia="Times New Roman" w:hAnsi="Calibri" w:cs="Calibri"/>
          <w:b/>
          <w:noProof/>
          <w:sz w:val="24"/>
          <w:szCs w:val="24"/>
        </w:rPr>
        <w:lastRenderedPageBreak/>
        <w:drawing>
          <wp:inline distT="0" distB="0" distL="0" distR="0">
            <wp:extent cx="5791200" cy="8201025"/>
            <wp:effectExtent l="0" t="0" r="0" b="9525"/>
            <wp:docPr id="2" name="Picture 2" descr="L:\SCAN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SCAN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5A92" w:rsidRPr="00365A92" w:rsidRDefault="00365A92" w:rsidP="00365A92">
      <w:pPr>
        <w:spacing w:after="0" w:line="240" w:lineRule="auto"/>
        <w:rPr>
          <w:rFonts w:ascii="Calibri" w:eastAsia="Times New Roman" w:hAnsi="Calibri" w:cs="Calibri"/>
        </w:rPr>
      </w:pPr>
      <w:r w:rsidRPr="00365A92">
        <w:rPr>
          <w:rFonts w:ascii="Calibri" w:eastAsia="Times New Roman" w:hAnsi="Calibri" w:cs="Calibri"/>
        </w:rPr>
        <w:lastRenderedPageBreak/>
        <w:t> </w:t>
      </w:r>
    </w:p>
    <w:p w:rsidR="00652D62" w:rsidRDefault="00D7661E" w:rsidP="00365A92">
      <w:pPr>
        <w:jc w:val="center"/>
      </w:pPr>
    </w:p>
    <w:sectPr w:rsidR="00652D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92"/>
    <w:rsid w:val="00165B2C"/>
    <w:rsid w:val="00365A92"/>
    <w:rsid w:val="00BC5D66"/>
    <w:rsid w:val="00D7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1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6694">
                  <w:marLeft w:val="0"/>
                  <w:marRight w:val="0"/>
                  <w:marTop w:val="0"/>
                  <w:marBottom w:val="0"/>
                  <w:divBdr>
                    <w:top w:val="single" w:sz="8" w:space="3" w:color="B5C4D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2014-05-29T14:46:00Z</dcterms:created>
  <dcterms:modified xsi:type="dcterms:W3CDTF">2014-05-29T15:05:00Z</dcterms:modified>
</cp:coreProperties>
</file>